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29" w:rsidRDefault="00ED7D29">
      <w:pPr>
        <w:ind w:left="12744" w:firstLine="708"/>
        <w:rPr>
          <w:sz w:val="28"/>
        </w:rPr>
      </w:pPr>
      <w:bookmarkStart w:id="0" w:name="_GoBack"/>
      <w:bookmarkEnd w:id="0"/>
    </w:p>
    <w:p w:rsidR="00ED7D29" w:rsidRDefault="00ED7D29" w:rsidP="00D77FCC">
      <w:pPr>
        <w:ind w:left="9000"/>
        <w:rPr>
          <w:sz w:val="28"/>
        </w:rPr>
      </w:pPr>
      <w:r>
        <w:rPr>
          <w:sz w:val="28"/>
        </w:rPr>
        <w:t xml:space="preserve">Додаток до </w:t>
      </w:r>
      <w:r w:rsidRPr="00E761F1">
        <w:rPr>
          <w:sz w:val="25"/>
          <w:szCs w:val="25"/>
        </w:rPr>
        <w:t>Цільової програми</w:t>
      </w:r>
    </w:p>
    <w:p w:rsidR="00ED7D29" w:rsidRDefault="00ED7D29" w:rsidP="00D77FCC">
      <w:pPr>
        <w:ind w:left="9000"/>
        <w:jc w:val="both"/>
        <w:rPr>
          <w:sz w:val="28"/>
        </w:rPr>
      </w:pPr>
      <w:bookmarkStart w:id="1" w:name="_Hlk24437383"/>
      <w:r w:rsidRPr="00E761F1">
        <w:rPr>
          <w:sz w:val="25"/>
          <w:szCs w:val="25"/>
        </w:rPr>
        <w:t xml:space="preserve"> </w:t>
      </w:r>
      <w:bookmarkStart w:id="2" w:name="OLE_LINK2"/>
      <w:bookmarkStart w:id="3" w:name="OLE_LINK3"/>
      <w:bookmarkStart w:id="4" w:name="OLE_LINK4"/>
      <w:r w:rsidRPr="00E761F1">
        <w:rPr>
          <w:sz w:val="25"/>
          <w:szCs w:val="25"/>
        </w:rPr>
        <w:t>«Разом до енергоефективності» відшкодування з міського бюджету відсотків за кредитами, залученими об’єднаннями співвласників багатоквартирних будинків, які беруть участь у програмах державної установи «Фонд енергоефективності», зокрема, у Програмі підтримки енергомодернізації багатоквартирних будинків «ЕНЕРГОДІМ» державної установи «Фонд енергоефективності»</w:t>
      </w:r>
      <w:r>
        <w:rPr>
          <w:sz w:val="25"/>
          <w:szCs w:val="25"/>
        </w:rPr>
        <w:t xml:space="preserve"> </w:t>
      </w:r>
      <w:r w:rsidRPr="00E761F1">
        <w:rPr>
          <w:sz w:val="25"/>
          <w:szCs w:val="25"/>
        </w:rPr>
        <w:t xml:space="preserve"> на 2021</w:t>
      </w:r>
      <w:bookmarkEnd w:id="1"/>
      <w:bookmarkEnd w:id="2"/>
      <w:bookmarkEnd w:id="3"/>
      <w:bookmarkEnd w:id="4"/>
      <w:r w:rsidRPr="00E761F1">
        <w:rPr>
          <w:sz w:val="25"/>
          <w:szCs w:val="25"/>
        </w:rPr>
        <w:t>-2023 роки</w:t>
      </w:r>
    </w:p>
    <w:p w:rsidR="00ED7D29" w:rsidRDefault="00ED7D29">
      <w:pPr>
        <w:ind w:left="12744" w:firstLine="708"/>
        <w:rPr>
          <w:sz w:val="28"/>
        </w:rPr>
      </w:pPr>
    </w:p>
    <w:p w:rsidR="00ED7D29" w:rsidRDefault="00ED7D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НАПРЯМИ ДІЯЛЬНОСТІ І ЗАХОДИ РЕАЛІЗАЦІЇ ПРОГРАМИ «РАЗОМ ДО ЕНЕРГОЕФЕКТИВНОСТІ»</w:t>
      </w:r>
    </w:p>
    <w:tbl>
      <w:tblPr>
        <w:tblW w:w="1602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1E0"/>
      </w:tblPr>
      <w:tblGrid>
        <w:gridCol w:w="450"/>
        <w:gridCol w:w="1464"/>
        <w:gridCol w:w="2696"/>
        <w:gridCol w:w="1168"/>
        <w:gridCol w:w="1350"/>
        <w:gridCol w:w="1584"/>
        <w:gridCol w:w="1126"/>
        <w:gridCol w:w="1131"/>
        <w:gridCol w:w="1187"/>
        <w:gridCol w:w="1169"/>
        <w:gridCol w:w="1166"/>
        <w:gridCol w:w="1529"/>
      </w:tblGrid>
      <w:tr w:rsidR="00ED7D29">
        <w:trPr>
          <w:cantSplit/>
          <w:trHeight w:val="276"/>
          <w:tblHeader/>
          <w:jc w:val="center"/>
        </w:trPr>
        <w:tc>
          <w:tcPr>
            <w:tcW w:w="450" w:type="dxa"/>
            <w:vMerge w:val="restart"/>
            <w:shd w:val="clear" w:color="auto" w:fill="C6D9F1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440" w:type="dxa"/>
            <w:vMerge w:val="restart"/>
            <w:shd w:val="clear" w:color="auto" w:fill="C6D9F1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Завдання</w:t>
            </w:r>
          </w:p>
        </w:tc>
        <w:tc>
          <w:tcPr>
            <w:tcW w:w="2699" w:type="dxa"/>
            <w:vMerge w:val="restart"/>
            <w:shd w:val="clear" w:color="auto" w:fill="C6D9F1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Зміст заходів</w:t>
            </w:r>
          </w:p>
        </w:tc>
        <w:tc>
          <w:tcPr>
            <w:tcW w:w="1170" w:type="dxa"/>
            <w:vMerge w:val="restart"/>
            <w:shd w:val="clear" w:color="auto" w:fill="C6D9F1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Термін вико-нання</w:t>
            </w:r>
          </w:p>
        </w:tc>
        <w:tc>
          <w:tcPr>
            <w:tcW w:w="1350" w:type="dxa"/>
            <w:vMerge w:val="restart"/>
            <w:shd w:val="clear" w:color="auto" w:fill="C6D9F1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1585" w:type="dxa"/>
            <w:vMerge w:val="restart"/>
            <w:shd w:val="clear" w:color="auto" w:fill="C6D9F1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Джерела фінансування</w:t>
            </w:r>
          </w:p>
        </w:tc>
        <w:tc>
          <w:tcPr>
            <w:tcW w:w="4623" w:type="dxa"/>
            <w:gridSpan w:val="4"/>
            <w:shd w:val="clear" w:color="auto" w:fill="C6D9F1"/>
            <w:tcMar>
              <w:left w:w="28" w:type="dxa"/>
            </w:tcMar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Обсяги фінансування по роках, тис. грн</w:t>
            </w:r>
          </w:p>
        </w:tc>
        <w:tc>
          <w:tcPr>
            <w:tcW w:w="2702" w:type="dxa"/>
            <w:gridSpan w:val="2"/>
            <w:vMerge w:val="restart"/>
            <w:shd w:val="clear" w:color="auto" w:fill="C6D9F1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ED7D29">
        <w:trPr>
          <w:cantSplit/>
          <w:trHeight w:val="539"/>
          <w:tblHeader/>
          <w:jc w:val="center"/>
        </w:trPr>
        <w:tc>
          <w:tcPr>
            <w:tcW w:w="450" w:type="dxa"/>
            <w:vMerge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</w:p>
        </w:tc>
        <w:tc>
          <w:tcPr>
            <w:tcW w:w="2699" w:type="dxa"/>
            <w:vMerge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</w:p>
        </w:tc>
        <w:tc>
          <w:tcPr>
            <w:tcW w:w="1170" w:type="dxa"/>
            <w:vMerge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</w:p>
        </w:tc>
        <w:tc>
          <w:tcPr>
            <w:tcW w:w="1350" w:type="dxa"/>
            <w:vMerge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</w:p>
        </w:tc>
        <w:tc>
          <w:tcPr>
            <w:tcW w:w="1585" w:type="dxa"/>
            <w:vMerge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</w:p>
        </w:tc>
        <w:tc>
          <w:tcPr>
            <w:tcW w:w="1129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</w:pPr>
            <w:r>
              <w:rPr>
                <w:b/>
                <w:sz w:val="22"/>
                <w:szCs w:val="22"/>
              </w:rPr>
              <w:t xml:space="preserve">2021 </w:t>
            </w:r>
          </w:p>
        </w:tc>
        <w:tc>
          <w:tcPr>
            <w:tcW w:w="1134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</w:pPr>
            <w:r>
              <w:rPr>
                <w:b/>
                <w:sz w:val="22"/>
                <w:szCs w:val="22"/>
              </w:rPr>
              <w:t xml:space="preserve">2022 </w:t>
            </w:r>
          </w:p>
        </w:tc>
        <w:tc>
          <w:tcPr>
            <w:tcW w:w="119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</w:pPr>
            <w:r>
              <w:rPr>
                <w:b/>
                <w:sz w:val="22"/>
                <w:szCs w:val="22"/>
              </w:rPr>
              <w:t xml:space="preserve">2023 </w:t>
            </w:r>
          </w:p>
        </w:tc>
        <w:tc>
          <w:tcPr>
            <w:tcW w:w="117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</w:pPr>
            <w:r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2702" w:type="dxa"/>
            <w:gridSpan w:val="2"/>
            <w:vMerge/>
            <w:shd w:val="clear" w:color="auto" w:fill="C6D9F1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  <w:sz w:val="22"/>
              </w:rPr>
            </w:pPr>
          </w:p>
        </w:tc>
      </w:tr>
      <w:tr w:rsidR="00ED7D29">
        <w:trPr>
          <w:cantSplit/>
          <w:tblHeader/>
          <w:jc w:val="center"/>
        </w:trPr>
        <w:tc>
          <w:tcPr>
            <w:tcW w:w="45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9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5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85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9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9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7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02" w:type="dxa"/>
            <w:gridSpan w:val="2"/>
            <w:tcMar>
              <w:left w:w="28" w:type="dxa"/>
            </w:tcMar>
          </w:tcPr>
          <w:p w:rsidR="00ED7D29" w:rsidRDefault="00ED7D29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ED7D29">
        <w:trPr>
          <w:cantSplit/>
          <w:jc w:val="center"/>
        </w:trPr>
        <w:tc>
          <w:tcPr>
            <w:tcW w:w="45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40" w:type="dxa"/>
            <w:vMerge w:val="restart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Стимулювати впровадження енерго-ефективних заходів населенням та суб’єктами господарювання</w:t>
            </w:r>
          </w:p>
        </w:tc>
        <w:tc>
          <w:tcPr>
            <w:tcW w:w="2699" w:type="dxa"/>
            <w:tcMar>
              <w:left w:w="28" w:type="dxa"/>
            </w:tcMar>
            <w:vAlign w:val="center"/>
          </w:tcPr>
          <w:p w:rsidR="00ED7D29" w:rsidRDefault="00ED7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Висвітленням в ЗМІ переваг та ефективності впровадження заходів з енергоефективності, в т.ч. на основі місцевого досвіду</w:t>
            </w:r>
          </w:p>
        </w:tc>
        <w:tc>
          <w:tcPr>
            <w:tcW w:w="117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</w:pPr>
            <w:r>
              <w:rPr>
                <w:sz w:val="20"/>
                <w:szCs w:val="20"/>
              </w:rPr>
              <w:t>2021-2023 роки</w:t>
            </w:r>
          </w:p>
        </w:tc>
        <w:tc>
          <w:tcPr>
            <w:tcW w:w="1350" w:type="dxa"/>
            <w:tcMar>
              <w:left w:w="28" w:type="dxa"/>
            </w:tcMar>
            <w:vAlign w:val="center"/>
          </w:tcPr>
          <w:p w:rsidR="00ED7D29" w:rsidRDefault="00ED7D29" w:rsidP="00541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Бериславської міської ради, ОСББ</w:t>
            </w:r>
          </w:p>
        </w:tc>
        <w:tc>
          <w:tcPr>
            <w:tcW w:w="1585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Фінансування не потребує</w:t>
            </w:r>
          </w:p>
        </w:tc>
        <w:tc>
          <w:tcPr>
            <w:tcW w:w="1129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 w:val="restart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Скорочення споживання енергії кінцевим споживачем</w:t>
            </w:r>
          </w:p>
        </w:tc>
      </w:tr>
      <w:tr w:rsidR="00ED7D29">
        <w:trPr>
          <w:cantSplit/>
          <w:jc w:val="center"/>
        </w:trPr>
        <w:tc>
          <w:tcPr>
            <w:tcW w:w="45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40" w:type="dxa"/>
            <w:vMerge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Mar>
              <w:left w:w="28" w:type="dxa"/>
            </w:tcMar>
            <w:vAlign w:val="center"/>
          </w:tcPr>
          <w:p w:rsidR="00ED7D29" w:rsidRDefault="00ED7D29">
            <w:pPr>
              <w:rPr>
                <w:sz w:val="20"/>
                <w:szCs w:val="20"/>
              </w:rPr>
            </w:pPr>
            <w:bookmarkStart w:id="5" w:name="_Hlk27577940"/>
            <w:r>
              <w:rPr>
                <w:sz w:val="20"/>
                <w:szCs w:val="20"/>
              </w:rPr>
              <w:t xml:space="preserve">Відшкодування процентів по  кредиту на впровадження заходів </w:t>
            </w:r>
            <w:r w:rsidRPr="001A5498">
              <w:rPr>
                <w:sz w:val="20"/>
                <w:szCs w:val="20"/>
              </w:rPr>
              <w:t>енергомодернізації</w:t>
            </w:r>
            <w:r>
              <w:rPr>
                <w:sz w:val="20"/>
                <w:szCs w:val="20"/>
              </w:rPr>
              <w:t xml:space="preserve"> житлових будівель </w:t>
            </w:r>
            <w:r>
              <w:rPr>
                <w:b/>
                <w:bCs/>
                <w:sz w:val="20"/>
                <w:szCs w:val="20"/>
              </w:rPr>
              <w:t>протягом перших 12 місяців кредитування</w:t>
            </w:r>
            <w:r>
              <w:rPr>
                <w:sz w:val="20"/>
                <w:szCs w:val="20"/>
              </w:rPr>
              <w:t xml:space="preserve"> (для ОСББ, які беруть участь у програмах державної установи «Фонд енергоефективності», зокрема у Програмі «ЕНЕРГОДІМ»</w:t>
            </w:r>
            <w:bookmarkEnd w:id="5"/>
            <w:r>
              <w:rPr>
                <w:sz w:val="20"/>
                <w:szCs w:val="20"/>
              </w:rPr>
              <w:t>)</w:t>
            </w:r>
          </w:p>
        </w:tc>
        <w:tc>
          <w:tcPr>
            <w:tcW w:w="117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</w:pPr>
            <w:r>
              <w:rPr>
                <w:sz w:val="20"/>
                <w:szCs w:val="20"/>
              </w:rPr>
              <w:t>2021-2023 роки</w:t>
            </w:r>
          </w:p>
        </w:tc>
        <w:tc>
          <w:tcPr>
            <w:tcW w:w="1350" w:type="dxa"/>
            <w:tcMar>
              <w:left w:w="28" w:type="dxa"/>
            </w:tcMar>
            <w:vAlign w:val="center"/>
          </w:tcPr>
          <w:p w:rsidR="00ED7D29" w:rsidRDefault="00ED7D29" w:rsidP="00541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Бериславської міської ради</w:t>
            </w:r>
          </w:p>
        </w:tc>
        <w:tc>
          <w:tcPr>
            <w:tcW w:w="1585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1129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9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7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2702" w:type="dxa"/>
            <w:gridSpan w:val="2"/>
            <w:vMerge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</w:tr>
      <w:tr w:rsidR="00ED7D29">
        <w:trPr>
          <w:cantSplit/>
          <w:jc w:val="center"/>
        </w:trPr>
        <w:tc>
          <w:tcPr>
            <w:tcW w:w="45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40" w:type="dxa"/>
            <w:vMerge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Mar>
              <w:left w:w="28" w:type="dxa"/>
            </w:tcMar>
            <w:vAlign w:val="center"/>
          </w:tcPr>
          <w:p w:rsidR="00ED7D29" w:rsidRDefault="00ED7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Розробка, тиражування та поширення поліграфічної продукції навчального, довідкового, рекламного характеру; проведення круглих столів, семінарів, семінарів-тренінгів з питань енергозбереження та енергоефективності</w:t>
            </w:r>
          </w:p>
        </w:tc>
        <w:tc>
          <w:tcPr>
            <w:tcW w:w="117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</w:pPr>
            <w:r>
              <w:rPr>
                <w:sz w:val="20"/>
                <w:szCs w:val="20"/>
              </w:rPr>
              <w:t>2021-2023 роки</w:t>
            </w:r>
          </w:p>
        </w:tc>
        <w:tc>
          <w:tcPr>
            <w:tcW w:w="1350" w:type="dxa"/>
            <w:tcMar>
              <w:left w:w="28" w:type="dxa"/>
            </w:tcMar>
            <w:vAlign w:val="center"/>
          </w:tcPr>
          <w:p w:rsidR="00ED7D29" w:rsidRDefault="00ED7D29" w:rsidP="00541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Бериславської міської ради, ОСББ</w:t>
            </w:r>
          </w:p>
        </w:tc>
        <w:tc>
          <w:tcPr>
            <w:tcW w:w="1585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1129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</w:tr>
      <w:tr w:rsidR="00ED7D29">
        <w:trPr>
          <w:cantSplit/>
          <w:jc w:val="center"/>
        </w:trPr>
        <w:tc>
          <w:tcPr>
            <w:tcW w:w="45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4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Забезпечити участь активних мешканців в реалізації місцевої енергетичної політики</w:t>
            </w:r>
          </w:p>
        </w:tc>
        <w:tc>
          <w:tcPr>
            <w:tcW w:w="2699" w:type="dxa"/>
            <w:tcMar>
              <w:left w:w="28" w:type="dxa"/>
            </w:tcMar>
            <w:vAlign w:val="center"/>
          </w:tcPr>
          <w:p w:rsidR="00ED7D29" w:rsidRDefault="00ED7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Залучення до співпраці активної молоді та людей з громадських організацій і бізнесу</w:t>
            </w:r>
          </w:p>
        </w:tc>
        <w:tc>
          <w:tcPr>
            <w:tcW w:w="117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</w:pPr>
            <w:r>
              <w:rPr>
                <w:sz w:val="20"/>
                <w:szCs w:val="20"/>
              </w:rPr>
              <w:t>2021-2023 роки</w:t>
            </w:r>
          </w:p>
        </w:tc>
        <w:tc>
          <w:tcPr>
            <w:tcW w:w="1350" w:type="dxa"/>
            <w:tcMar>
              <w:left w:w="28" w:type="dxa"/>
            </w:tcMar>
            <w:vAlign w:val="center"/>
          </w:tcPr>
          <w:p w:rsidR="00ED7D29" w:rsidRDefault="00ED7D29" w:rsidP="00541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Бериславської міської ради, ОСББ</w:t>
            </w:r>
          </w:p>
        </w:tc>
        <w:tc>
          <w:tcPr>
            <w:tcW w:w="1585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Фінансування не потребує</w:t>
            </w:r>
          </w:p>
        </w:tc>
        <w:tc>
          <w:tcPr>
            <w:tcW w:w="1129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Нові ідеї та проекти</w:t>
            </w:r>
          </w:p>
        </w:tc>
      </w:tr>
      <w:tr w:rsidR="00ED7D29">
        <w:trPr>
          <w:cantSplit/>
          <w:trHeight w:val="2267"/>
          <w:jc w:val="center"/>
        </w:trPr>
        <w:tc>
          <w:tcPr>
            <w:tcW w:w="45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40" w:type="dxa"/>
            <w:vMerge w:val="restart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Підвищити обізнаність населення з питань раціонального споживання енергії та оптимальних технічних рішень для скорочення споживання енергії на рівні кінцевого споживача</w:t>
            </w:r>
          </w:p>
        </w:tc>
        <w:tc>
          <w:tcPr>
            <w:tcW w:w="2699" w:type="dxa"/>
            <w:tcMar>
              <w:left w:w="28" w:type="dxa"/>
            </w:tcMar>
            <w:vAlign w:val="center"/>
          </w:tcPr>
          <w:p w:rsidR="00ED7D29" w:rsidRDefault="00ED7D29">
            <w:pPr>
              <w:pStyle w:val="a5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  <w:lang w:val="uk-UA" w:eastAsia="ru-RU"/>
              </w:rPr>
              <w:t xml:space="preserve">Створення окремого розділу на сайті міської ради, присвяченого підтримці інформаційних кампаній, місцевій енергетичній політиці. </w:t>
            </w:r>
            <w:r w:rsidRPr="00541A97">
              <w:rPr>
                <w:rFonts w:ascii="Times New Roman" w:hAnsi="Times New Roman" w:cs="Times New Roman"/>
                <w:spacing w:val="0"/>
                <w:sz w:val="20"/>
                <w:szCs w:val="20"/>
                <w:lang w:val="uk-UA" w:eastAsia="ru-RU"/>
              </w:rPr>
              <w:t>Ведення на сайті ради відкритого реєстру заяв на резервування коштів та договорів з ОСББ про відшкодування процентів за кредитами, залученими на енергомодернізацію.</w:t>
            </w:r>
          </w:p>
        </w:tc>
        <w:tc>
          <w:tcPr>
            <w:tcW w:w="117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</w:pPr>
            <w:r>
              <w:rPr>
                <w:sz w:val="20"/>
                <w:szCs w:val="20"/>
              </w:rPr>
              <w:t>2021-2023 роки</w:t>
            </w:r>
          </w:p>
        </w:tc>
        <w:tc>
          <w:tcPr>
            <w:tcW w:w="1350" w:type="dxa"/>
            <w:tcMar>
              <w:left w:w="28" w:type="dxa"/>
            </w:tcMar>
            <w:vAlign w:val="center"/>
          </w:tcPr>
          <w:p w:rsidR="00ED7D29" w:rsidRDefault="00ED7D29" w:rsidP="00541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Бериславської міської ради, ОСББ</w:t>
            </w:r>
          </w:p>
        </w:tc>
        <w:tc>
          <w:tcPr>
            <w:tcW w:w="1585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1129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 w:val="restart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Скорочення споживання енергії кінцевим споживачем</w:t>
            </w:r>
          </w:p>
        </w:tc>
      </w:tr>
      <w:tr w:rsidR="00ED7D29">
        <w:trPr>
          <w:cantSplit/>
          <w:jc w:val="center"/>
        </w:trPr>
        <w:tc>
          <w:tcPr>
            <w:tcW w:w="45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40" w:type="dxa"/>
            <w:vMerge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9" w:type="dxa"/>
            <w:tcMar>
              <w:left w:w="28" w:type="dxa"/>
            </w:tcMar>
            <w:vAlign w:val="center"/>
          </w:tcPr>
          <w:p w:rsidR="00ED7D29" w:rsidRDefault="00ED7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Просвітницька робота та інформаційні заходи в навчальних закладах</w:t>
            </w:r>
          </w:p>
        </w:tc>
        <w:tc>
          <w:tcPr>
            <w:tcW w:w="1170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</w:pPr>
            <w:r>
              <w:rPr>
                <w:sz w:val="20"/>
                <w:szCs w:val="20"/>
              </w:rPr>
              <w:t>2021-2023 роки</w:t>
            </w:r>
          </w:p>
        </w:tc>
        <w:tc>
          <w:tcPr>
            <w:tcW w:w="1350" w:type="dxa"/>
            <w:tcMar>
              <w:left w:w="28" w:type="dxa"/>
            </w:tcMar>
            <w:vAlign w:val="center"/>
          </w:tcPr>
          <w:p w:rsidR="00ED7D29" w:rsidRDefault="00ED7D29" w:rsidP="00541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Бериславської міської ради, ОСББ</w:t>
            </w:r>
          </w:p>
        </w:tc>
        <w:tc>
          <w:tcPr>
            <w:tcW w:w="1585" w:type="dxa"/>
            <w:tcMar>
              <w:left w:w="28" w:type="dxa"/>
            </w:tcMar>
            <w:vAlign w:val="center"/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 межах фінансування Програми розвитку освіти</w:t>
            </w:r>
          </w:p>
        </w:tc>
        <w:tc>
          <w:tcPr>
            <w:tcW w:w="1129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vMerge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</w:p>
        </w:tc>
      </w:tr>
      <w:tr w:rsidR="00ED7D29">
        <w:trPr>
          <w:cantSplit/>
          <w:jc w:val="center"/>
        </w:trPr>
        <w:tc>
          <w:tcPr>
            <w:tcW w:w="7109" w:type="dxa"/>
            <w:gridSpan w:val="5"/>
            <w:shd w:val="clear" w:color="auto" w:fill="C6D9F1"/>
            <w:tcMar>
              <w:left w:w="28" w:type="dxa"/>
            </w:tcMar>
            <w:vAlign w:val="center"/>
          </w:tcPr>
          <w:p w:rsidR="00ED7D29" w:rsidRDefault="00ED7D2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1585" w:type="dxa"/>
            <w:shd w:val="clear" w:color="auto" w:fill="C6D9F1"/>
            <w:tcMar>
              <w:left w:w="28" w:type="dxa"/>
            </w:tcMar>
          </w:tcPr>
          <w:p w:rsidR="00ED7D29" w:rsidRDefault="00ED7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C6D9F1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C6D9F1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90" w:type="dxa"/>
            <w:shd w:val="clear" w:color="auto" w:fill="C6D9F1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70" w:type="dxa"/>
            <w:shd w:val="clear" w:color="auto" w:fill="C6D9F1"/>
            <w:tcMar>
              <w:left w:w="28" w:type="dxa"/>
            </w:tcMar>
          </w:tcPr>
          <w:p w:rsidR="00ED7D29" w:rsidRDefault="00ED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69" w:type="dxa"/>
            <w:shd w:val="clear" w:color="auto" w:fill="C6D9F1"/>
            <w:tcMar>
              <w:left w:w="28" w:type="dxa"/>
            </w:tcMar>
          </w:tcPr>
          <w:p w:rsidR="00ED7D29" w:rsidRDefault="00ED7D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C6D9F1"/>
            <w:tcMar>
              <w:left w:w="28" w:type="dxa"/>
            </w:tcMar>
          </w:tcPr>
          <w:p w:rsidR="00ED7D29" w:rsidRDefault="00ED7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ED7D29" w:rsidRDefault="00ED7D29"/>
    <w:p w:rsidR="00ED7D29" w:rsidRDefault="00ED7D29"/>
    <w:p w:rsidR="00ED7D29" w:rsidRDefault="00ED7D29"/>
    <w:p w:rsidR="00ED7D29" w:rsidRDefault="00ED7D29"/>
    <w:p w:rsidR="00ED7D29" w:rsidRDefault="00ED7D29"/>
    <w:p w:rsidR="00ED7D29" w:rsidRDefault="00ED7D29"/>
    <w:p w:rsidR="00ED7D29" w:rsidRDefault="00ED7D29"/>
    <w:p w:rsidR="00ED7D29" w:rsidRDefault="00ED7D29"/>
    <w:p w:rsidR="00ED7D29" w:rsidRDefault="00ED7D29"/>
    <w:p w:rsidR="00ED7D29" w:rsidRDefault="00ED7D29"/>
    <w:p w:rsidR="00ED7D29" w:rsidRDefault="00ED7D29"/>
    <w:p w:rsidR="00ED7D29" w:rsidRDefault="00ED7D29"/>
    <w:p w:rsidR="00ED7D29" w:rsidRDefault="00ED7D29"/>
    <w:p w:rsidR="00ED7D29" w:rsidRDefault="00ED7D29"/>
    <w:p w:rsidR="00ED7D29" w:rsidRDefault="00ED7D29"/>
    <w:p w:rsidR="00ED7D29" w:rsidRDefault="00ED7D29"/>
    <w:p w:rsidR="00ED7D29" w:rsidRDefault="00ED7D29"/>
    <w:sectPr w:rsidR="00ED7D29" w:rsidSect="00D77FCC">
      <w:footerReference w:type="default" r:id="rId6"/>
      <w:pgSz w:w="16838" w:h="11906" w:orient="landscape"/>
      <w:pgMar w:top="540" w:right="851" w:bottom="851" w:left="851" w:header="0" w:footer="290" w:gutter="0"/>
      <w:pgNumType w:start="1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29" w:rsidRDefault="00ED7D29" w:rsidP="00A15B2F">
      <w:r>
        <w:separator/>
      </w:r>
    </w:p>
  </w:endnote>
  <w:endnote w:type="continuationSeparator" w:id="0">
    <w:p w:rsidR="00ED7D29" w:rsidRDefault="00ED7D29" w:rsidP="00A15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D29" w:rsidRDefault="00ED7D29">
    <w:pPr>
      <w:pStyle w:val="Footer1"/>
      <w:jc w:val="center"/>
    </w:pPr>
    <w:fldSimple w:instr="PAGE">
      <w:r>
        <w:rPr>
          <w:noProof/>
        </w:rPr>
        <w:t>10</w:t>
      </w:r>
    </w:fldSimple>
  </w:p>
  <w:p w:rsidR="00ED7D29" w:rsidRDefault="00ED7D29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29" w:rsidRDefault="00ED7D29" w:rsidP="00A15B2F">
      <w:r>
        <w:separator/>
      </w:r>
    </w:p>
  </w:footnote>
  <w:footnote w:type="continuationSeparator" w:id="0">
    <w:p w:rsidR="00ED7D29" w:rsidRDefault="00ED7D29" w:rsidP="00A15B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B2F"/>
    <w:rsid w:val="001A5498"/>
    <w:rsid w:val="00237378"/>
    <w:rsid w:val="00541A97"/>
    <w:rsid w:val="005D351D"/>
    <w:rsid w:val="00633C93"/>
    <w:rsid w:val="00884536"/>
    <w:rsid w:val="00A13957"/>
    <w:rsid w:val="00A15B2F"/>
    <w:rsid w:val="00D77FCC"/>
    <w:rsid w:val="00E761F1"/>
    <w:rsid w:val="00ED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ерхній колонтитул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Нижній колонтитул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Текст у виносці Знак"/>
    <w:basedOn w:val="DefaultParagraphFont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a2">
    <w:name w:val="Текст примітки Знак"/>
    <w:basedOn w:val="DefaultParagraphFont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ма примітки Знак"/>
    <w:basedOn w:val="a2"/>
    <w:uiPriority w:val="99"/>
    <w:semiHidden/>
    <w:rPr>
      <w:b/>
      <w:bCs/>
    </w:rPr>
  </w:style>
  <w:style w:type="paragraph" w:customStyle="1" w:styleId="a4">
    <w:name w:val="Заголовок"/>
    <w:basedOn w:val="Normal"/>
    <w:next w:val="BodyText"/>
    <w:uiPriority w:val="99"/>
    <w:rsid w:val="00A15B2F"/>
    <w:pPr>
      <w:keepNext/>
      <w:spacing w:before="240" w:after="120"/>
    </w:pPr>
    <w:rPr>
      <w:rFonts w:ascii="Liberation Sans" w:eastAsia="Calibri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15B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5635"/>
    <w:rPr>
      <w:rFonts w:ascii="Times New Roman" w:eastAsia="Times New Roman" w:hAnsi="Times New Roman"/>
      <w:sz w:val="24"/>
      <w:szCs w:val="24"/>
      <w:lang w:val="uk-UA"/>
    </w:rPr>
  </w:style>
  <w:style w:type="paragraph" w:styleId="List">
    <w:name w:val="List"/>
    <w:basedOn w:val="BodyText"/>
    <w:uiPriority w:val="99"/>
    <w:rsid w:val="00A15B2F"/>
    <w:rPr>
      <w:rFonts w:cs="FreeSans"/>
    </w:rPr>
  </w:style>
  <w:style w:type="paragraph" w:customStyle="1" w:styleId="Caption1">
    <w:name w:val="Caption1"/>
    <w:basedOn w:val="Normal"/>
    <w:uiPriority w:val="99"/>
    <w:rsid w:val="00A15B2F"/>
    <w:pPr>
      <w:suppressLineNumbers/>
      <w:spacing w:before="120" w:after="120"/>
    </w:pPr>
    <w:rPr>
      <w:rFonts w:cs="FreeSans"/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A15B2F"/>
    <w:pPr>
      <w:suppressLineNumbers/>
    </w:pPr>
    <w:rPr>
      <w:rFonts w:cs="FreeSans"/>
    </w:rPr>
  </w:style>
  <w:style w:type="paragraph" w:customStyle="1" w:styleId="Header1">
    <w:name w:val="Header1"/>
    <w:basedOn w:val="Normal"/>
    <w:uiPriority w:val="99"/>
    <w:pPr>
      <w:tabs>
        <w:tab w:val="center" w:pos="4819"/>
        <w:tab w:val="right" w:pos="9639"/>
      </w:tabs>
    </w:pPr>
  </w:style>
  <w:style w:type="paragraph" w:customStyle="1" w:styleId="Footer1">
    <w:name w:val="Footer1"/>
    <w:basedOn w:val="Normal"/>
    <w:uiPriority w:val="99"/>
    <w:pPr>
      <w:tabs>
        <w:tab w:val="center" w:pos="4819"/>
        <w:tab w:val="right" w:pos="9639"/>
      </w:tabs>
    </w:p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a5">
    <w:name w:val="Обычный + полужирный"/>
    <w:basedOn w:val="Normal"/>
    <w:uiPriority w:val="99"/>
    <w:pPr>
      <w:spacing w:line="240" w:lineRule="atLeast"/>
    </w:pPr>
    <w:rPr>
      <w:rFonts w:ascii="Arial" w:hAnsi="Arial" w:cs="Tahoma"/>
      <w:spacing w:val="4"/>
      <w:sz w:val="16"/>
      <w:szCs w:val="16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635"/>
    <w:rPr>
      <w:rFonts w:ascii="Times New Roman" w:eastAsia="Times New Roman" w:hAnsi="Times New Roman"/>
      <w:sz w:val="0"/>
      <w:szCs w:val="0"/>
      <w:lang w:val="uk-UA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635"/>
    <w:rPr>
      <w:rFonts w:ascii="Times New Roman" w:eastAsia="Times New Roman" w:hAnsi="Times New Roman"/>
      <w:sz w:val="20"/>
      <w:szCs w:val="20"/>
      <w:lang w:val="uk-UA"/>
    </w:rPr>
  </w:style>
  <w:style w:type="paragraph" w:styleId="CommentSubject">
    <w:name w:val="annotation subject"/>
    <w:basedOn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635"/>
    <w:rPr>
      <w:b/>
      <w:bCs/>
    </w:rPr>
  </w:style>
  <w:style w:type="paragraph" w:customStyle="1" w:styleId="a6">
    <w:name w:val="Содержимое таблицы"/>
    <w:basedOn w:val="Normal"/>
    <w:uiPriority w:val="99"/>
    <w:rsid w:val="00A15B2F"/>
  </w:style>
  <w:style w:type="paragraph" w:customStyle="1" w:styleId="a7">
    <w:name w:val="Заголовок таблицы"/>
    <w:basedOn w:val="a6"/>
    <w:uiPriority w:val="99"/>
    <w:rsid w:val="00A15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424</Words>
  <Characters>2422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</dc:creator>
  <cp:keywords/>
  <dc:description/>
  <cp:lastModifiedBy>№1</cp:lastModifiedBy>
  <cp:revision>4</cp:revision>
  <cp:lastPrinted>2021-03-02T07:42:00Z</cp:lastPrinted>
  <dcterms:created xsi:type="dcterms:W3CDTF">2021-03-02T07:43:00Z</dcterms:created>
  <dcterms:modified xsi:type="dcterms:W3CDTF">2021-03-10T09:29:00Z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